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9B" w:rsidRPr="00E66E64" w:rsidRDefault="000C249B" w:rsidP="009460FB">
      <w:pPr>
        <w:pStyle w:val="Default"/>
        <w:spacing w:after="240" w:line="276" w:lineRule="auto"/>
        <w:jc w:val="center"/>
        <w:rPr>
          <w:b/>
          <w:bCs/>
          <w:sz w:val="32"/>
          <w:szCs w:val="32"/>
        </w:rPr>
      </w:pPr>
      <w:r w:rsidRPr="00E66E64">
        <w:rPr>
          <w:b/>
          <w:bCs/>
          <w:sz w:val="32"/>
          <w:szCs w:val="32"/>
        </w:rPr>
        <w:t>Janet Richardson</w:t>
      </w:r>
    </w:p>
    <w:p w:rsidR="000C249B" w:rsidRDefault="000C249B" w:rsidP="009460FB">
      <w:pPr>
        <w:pStyle w:val="Default"/>
        <w:spacing w:after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1234 Pr</w:t>
      </w:r>
      <w:bookmarkStart w:id="0" w:name="_GoBack"/>
      <w:bookmarkEnd w:id="0"/>
      <w:r>
        <w:rPr>
          <w:sz w:val="22"/>
          <w:szCs w:val="22"/>
        </w:rPr>
        <w:t>ice Street</w:t>
      </w:r>
    </w:p>
    <w:p w:rsidR="000C249B" w:rsidRDefault="000C249B" w:rsidP="009460FB">
      <w:pPr>
        <w:pStyle w:val="Default"/>
        <w:spacing w:after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Raleigh, NC 27601</w:t>
      </w:r>
    </w:p>
    <w:p w:rsidR="000C249B" w:rsidRDefault="000C249B" w:rsidP="009460FB">
      <w:pPr>
        <w:pStyle w:val="Default"/>
        <w:spacing w:after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(919) 555‐7839</w:t>
      </w:r>
    </w:p>
    <w:p w:rsidR="00751B76" w:rsidRPr="00751B76" w:rsidRDefault="009460FB" w:rsidP="009460FB">
      <w:pPr>
        <w:pStyle w:val="Default"/>
        <w:spacing w:after="240" w:line="276" w:lineRule="auto"/>
        <w:jc w:val="center"/>
        <w:rPr>
          <w:color w:val="0000FF"/>
          <w:sz w:val="22"/>
          <w:szCs w:val="22"/>
        </w:rPr>
      </w:pPr>
      <w:hyperlink r:id="rId7" w:history="1">
        <w:r w:rsidR="000C249B" w:rsidRPr="00B859B9">
          <w:rPr>
            <w:rStyle w:val="Hyperlink"/>
            <w:rFonts w:cs="Calibri"/>
            <w:sz w:val="22"/>
            <w:szCs w:val="22"/>
          </w:rPr>
          <w:t>jrichardson@email.com</w:t>
        </w:r>
      </w:hyperlink>
    </w:p>
    <w:p w:rsidR="000C249B" w:rsidRPr="00E66E64" w:rsidRDefault="000C249B" w:rsidP="009460FB">
      <w:pPr>
        <w:pStyle w:val="Default"/>
        <w:tabs>
          <w:tab w:val="left" w:pos="2340"/>
          <w:tab w:val="left" w:pos="4230"/>
          <w:tab w:val="right" w:pos="10072"/>
        </w:tabs>
        <w:spacing w:before="240"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Summary</w:t>
      </w:r>
      <w:r w:rsidR="0048553D">
        <w:rPr>
          <w:b/>
          <w:bCs/>
          <w:sz w:val="22"/>
          <w:szCs w:val="22"/>
        </w:rPr>
        <w:t>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Over thirteen years </w:t>
      </w:r>
      <w:r w:rsidR="004B3434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experience as </w:t>
      </w:r>
      <w:r w:rsidR="009E7CF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real estate </w:t>
      </w:r>
      <w:r>
        <w:rPr>
          <w:b/>
          <w:bCs/>
          <w:sz w:val="22"/>
          <w:szCs w:val="22"/>
        </w:rPr>
        <w:t xml:space="preserve">paralegal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contracts manager </w:t>
      </w:r>
      <w:r>
        <w:rPr>
          <w:sz w:val="22"/>
          <w:szCs w:val="22"/>
        </w:rPr>
        <w:t xml:space="preserve">for nationally recognized </w:t>
      </w:r>
      <w:r>
        <w:rPr>
          <w:b/>
          <w:bCs/>
          <w:sz w:val="22"/>
          <w:szCs w:val="22"/>
        </w:rPr>
        <w:t xml:space="preserve">law firms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wireless communications </w:t>
      </w:r>
      <w:r>
        <w:rPr>
          <w:sz w:val="22"/>
          <w:szCs w:val="22"/>
        </w:rPr>
        <w:t xml:space="preserve">companies.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Contracts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 xml:space="preserve">Prepared and reviewed legal documents required for ground lease dispute resolution, utility and access issues, and protection of leasehold interests. Cured lease defaults and title defects, resulting in $1.3 million in recovered property. </w:t>
      </w:r>
      <w:proofErr w:type="gramStart"/>
      <w:r w:rsidR="000C249B">
        <w:rPr>
          <w:sz w:val="22"/>
          <w:szCs w:val="22"/>
        </w:rPr>
        <w:t>Coordinated in‐house and outside counsel regarding litigation for more 15% of active suits</w:t>
      </w:r>
      <w:r w:rsidR="00E66E64">
        <w:rPr>
          <w:sz w:val="22"/>
          <w:szCs w:val="22"/>
        </w:rPr>
        <w:t>.</w:t>
      </w:r>
      <w:proofErr w:type="gramEnd"/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Real Estate Paralegal: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 xml:space="preserve">Coordinated review and obtained legal approval for all regional leases and lease amendments related to site alterations. </w:t>
      </w:r>
      <w:proofErr w:type="gramStart"/>
      <w:r w:rsidR="000C249B">
        <w:rPr>
          <w:sz w:val="22"/>
          <w:szCs w:val="22"/>
        </w:rPr>
        <w:t>Served as liaison during the collocation process.</w:t>
      </w:r>
      <w:proofErr w:type="gramEnd"/>
      <w:r w:rsidR="000C249B">
        <w:rPr>
          <w:sz w:val="22"/>
          <w:szCs w:val="22"/>
        </w:rPr>
        <w:t xml:space="preserve"> Populated and supervised maintenance databases for lease tracking and property management.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Property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Served as Director, Facilities, maintaining legal documents and mitigating site issues f</w:t>
      </w:r>
      <w:r w:rsidR="00E66E64">
        <w:rPr>
          <w:sz w:val="22"/>
          <w:szCs w:val="22"/>
        </w:rPr>
        <w:t xml:space="preserve">or 18 international locations. </w:t>
      </w:r>
    </w:p>
    <w:p w:rsidR="000C249B" w:rsidRDefault="000C249B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Leadership: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Directly managed NHQ Legal Department, comprised of 36 onsite staff. </w:t>
      </w:r>
      <w:proofErr w:type="gramStart"/>
      <w:r>
        <w:rPr>
          <w:sz w:val="22"/>
          <w:szCs w:val="22"/>
        </w:rPr>
        <w:t>Served as Mid‐South Area Rent Roll Coordinator, overseeing 23 employees at five</w:t>
      </w:r>
      <w:r w:rsidR="00E66E64">
        <w:rPr>
          <w:sz w:val="22"/>
          <w:szCs w:val="22"/>
        </w:rPr>
        <w:t xml:space="preserve"> sites.</w:t>
      </w:r>
      <w:proofErr w:type="gramEnd"/>
      <w:r w:rsidR="00E66E64">
        <w:rPr>
          <w:sz w:val="22"/>
          <w:szCs w:val="22"/>
        </w:rPr>
        <w:t xml:space="preserve">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Banking &amp; Lending: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Drafted loan documents, escrow instructions, and title objection letters. Conducted due diligence on title and survey matters. Or</w:t>
      </w:r>
      <w:r w:rsidR="00E66E64">
        <w:rPr>
          <w:sz w:val="22"/>
          <w:szCs w:val="22"/>
        </w:rPr>
        <w:t xml:space="preserve">ganized and attended closings.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Work History: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</w:r>
      <w:r w:rsidR="000C249B">
        <w:rPr>
          <w:sz w:val="22"/>
          <w:szCs w:val="22"/>
        </w:rPr>
        <w:t>WILLIAMS COMMUNICATIONS, INC.</w:t>
      </w:r>
      <w:r w:rsidR="00DD7EE4">
        <w:rPr>
          <w:sz w:val="22"/>
          <w:szCs w:val="22"/>
        </w:rPr>
        <w:t>,</w:t>
      </w:r>
      <w:r w:rsidR="000C249B">
        <w:rPr>
          <w:sz w:val="22"/>
          <w:szCs w:val="22"/>
        </w:rPr>
        <w:t xml:space="preserve"> Raleigh, NC     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249B" w:rsidRPr="00213F22">
        <w:rPr>
          <w:b/>
          <w:sz w:val="22"/>
          <w:szCs w:val="22"/>
        </w:rPr>
        <w:t>C</w:t>
      </w:r>
      <w:r w:rsidR="000C249B">
        <w:rPr>
          <w:b/>
          <w:bCs/>
          <w:sz w:val="22"/>
          <w:szCs w:val="22"/>
        </w:rPr>
        <w:t>ontracts Manager, Facilities Division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 – 2006</w:t>
      </w:r>
      <w:r w:rsidR="000C249B">
        <w:rPr>
          <w:sz w:val="22"/>
          <w:szCs w:val="22"/>
        </w:rPr>
        <w:tab/>
        <w:t xml:space="preserve">WIRELESS COMMUNICATIONS, Cary, NC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Real Estate Specialist, Mid‐South Network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</w:t>
      </w:r>
      <w:r w:rsidR="000C249B">
        <w:rPr>
          <w:sz w:val="22"/>
          <w:szCs w:val="22"/>
        </w:rPr>
        <w:tab/>
        <w:t xml:space="preserve">HUNTER &amp; SUGARMAN, Murphy, NC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Banking &amp; Finance Paralegal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1995 – 1999</w:t>
      </w:r>
      <w:r w:rsidR="000C249B">
        <w:rPr>
          <w:sz w:val="22"/>
          <w:szCs w:val="22"/>
        </w:rPr>
        <w:tab/>
        <w:t>DANIELS, HENDERSON, JAM</w:t>
      </w:r>
      <w:r>
        <w:rPr>
          <w:sz w:val="22"/>
          <w:szCs w:val="22"/>
        </w:rPr>
        <w:t xml:space="preserve">ISON, &amp; WALKER, L.L.P., </w:t>
      </w:r>
      <w:r w:rsidR="000C249B">
        <w:rPr>
          <w:sz w:val="22"/>
          <w:szCs w:val="22"/>
        </w:rPr>
        <w:t xml:space="preserve">Murphy, NC </w:t>
      </w:r>
    </w:p>
    <w:p w:rsidR="000C249B" w:rsidRPr="00E66E64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 w:rsidR="00E66E64">
        <w:rPr>
          <w:b/>
          <w:bCs/>
          <w:sz w:val="22"/>
          <w:szCs w:val="22"/>
        </w:rPr>
        <w:t xml:space="preserve">Real Estate Paralegal </w:t>
      </w:r>
    </w:p>
    <w:p w:rsidR="000C249B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B.A., POLITICAL SCIENCE</w:t>
      </w:r>
      <w:r>
        <w:rPr>
          <w:sz w:val="22"/>
          <w:szCs w:val="22"/>
        </w:rPr>
        <w:tab/>
        <w:t>1994</w:t>
      </w:r>
    </w:p>
    <w:p w:rsidR="0048553D" w:rsidRPr="0048553D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University of North Carolina, Chapel Hill, NC</w:t>
      </w:r>
    </w:p>
    <w:p w:rsidR="0048553D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CERTIFICATION, PARALEGAL STUDIES</w:t>
      </w:r>
      <w:r w:rsidR="00E66E64">
        <w:rPr>
          <w:sz w:val="22"/>
          <w:szCs w:val="22"/>
        </w:rPr>
        <w:tab/>
        <w:t>1996</w:t>
      </w:r>
    </w:p>
    <w:p w:rsidR="0048553D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</w:pPr>
      <w:r>
        <w:rPr>
          <w:b/>
          <w:bCs/>
          <w:sz w:val="22"/>
          <w:szCs w:val="22"/>
        </w:rPr>
        <w:t>Additional Skills: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Microsoft Office Suite 2007, </w:t>
      </w:r>
      <w:proofErr w:type="spellStart"/>
      <w:r>
        <w:rPr>
          <w:sz w:val="22"/>
          <w:szCs w:val="22"/>
        </w:rPr>
        <w:t>LeaseTech</w:t>
      </w:r>
      <w:proofErr w:type="spellEnd"/>
      <w:r>
        <w:rPr>
          <w:sz w:val="22"/>
          <w:szCs w:val="22"/>
        </w:rPr>
        <w:t xml:space="preserve"> 200 Settlement System, Deed Analysis System v 6.0, </w:t>
      </w:r>
      <w:proofErr w:type="spellStart"/>
      <w:r>
        <w:rPr>
          <w:sz w:val="22"/>
          <w:szCs w:val="22"/>
        </w:rPr>
        <w:t>StandardLegal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CapSoft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EasySoft</w:t>
      </w:r>
      <w:proofErr w:type="spellEnd"/>
      <w:r>
        <w:rPr>
          <w:sz w:val="22"/>
          <w:szCs w:val="22"/>
        </w:rPr>
        <w:t xml:space="preserve"> Legal Billing System</w:t>
      </w:r>
    </w:p>
    <w:p w:rsidR="0048553D" w:rsidRDefault="0048553D" w:rsidP="009460FB">
      <w:pPr>
        <w:pStyle w:val="Default"/>
        <w:tabs>
          <w:tab w:val="left" w:pos="2340"/>
          <w:tab w:val="left" w:pos="4230"/>
          <w:tab w:val="right" w:pos="10072"/>
        </w:tabs>
        <w:spacing w:after="240" w:line="276" w:lineRule="auto"/>
        <w:ind w:left="2340" w:hanging="2340"/>
      </w:pPr>
      <w:r>
        <w:rPr>
          <w:b/>
          <w:bCs/>
          <w:sz w:val="22"/>
          <w:szCs w:val="22"/>
        </w:rPr>
        <w:t>References:</w:t>
      </w:r>
      <w:r w:rsidR="00751B76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Available upon request.</w:t>
      </w:r>
    </w:p>
    <w:sectPr w:rsidR="00485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4" w:right="894" w:bottom="1440" w:left="12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5F" w:rsidRDefault="006D675F" w:rsidP="006D675F">
      <w:pPr>
        <w:spacing w:after="0" w:line="240" w:lineRule="auto"/>
      </w:pPr>
      <w:r>
        <w:separator/>
      </w:r>
    </w:p>
  </w:endnote>
  <w:endnote w:type="continuationSeparator" w:id="0">
    <w:p w:rsidR="006D675F" w:rsidRDefault="006D675F" w:rsidP="006D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5F" w:rsidRDefault="006D675F" w:rsidP="006D675F">
      <w:pPr>
        <w:spacing w:after="0" w:line="240" w:lineRule="auto"/>
      </w:pPr>
      <w:r>
        <w:separator/>
      </w:r>
    </w:p>
  </w:footnote>
  <w:footnote w:type="continuationSeparator" w:id="0">
    <w:p w:rsidR="006D675F" w:rsidRDefault="006D675F" w:rsidP="006D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5F" w:rsidRDefault="006D6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22"/>
    <w:rsid w:val="00057070"/>
    <w:rsid w:val="000C249B"/>
    <w:rsid w:val="000F7B61"/>
    <w:rsid w:val="00213F22"/>
    <w:rsid w:val="003B287B"/>
    <w:rsid w:val="0048553D"/>
    <w:rsid w:val="004B3434"/>
    <w:rsid w:val="006D675F"/>
    <w:rsid w:val="007327F9"/>
    <w:rsid w:val="00751B76"/>
    <w:rsid w:val="009460FB"/>
    <w:rsid w:val="009E7CF7"/>
    <w:rsid w:val="00B859B9"/>
    <w:rsid w:val="00BE3FC5"/>
    <w:rsid w:val="00D35961"/>
    <w:rsid w:val="00DD7EE4"/>
    <w:rsid w:val="00E66E64"/>
    <w:rsid w:val="00E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F"/>
  </w:style>
  <w:style w:type="paragraph" w:styleId="Footer">
    <w:name w:val="footer"/>
    <w:basedOn w:val="Normal"/>
    <w:link w:val="Foot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5F"/>
  </w:style>
  <w:style w:type="paragraph" w:styleId="Footer">
    <w:name w:val="footer"/>
    <w:basedOn w:val="Normal"/>
    <w:link w:val="FooterChar"/>
    <w:uiPriority w:val="99"/>
    <w:unhideWhenUsed/>
    <w:rsid w:val="006D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richardson@e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2010-07-28T13:17:00Z</dcterms:created>
  <dcterms:modified xsi:type="dcterms:W3CDTF">2010-07-28T13:17:00Z</dcterms:modified>
</cp:coreProperties>
</file>